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8FF9" w14:textId="0B68E249" w:rsidR="000E0121" w:rsidRDefault="000E0121" w:rsidP="000E0121">
      <w:pPr>
        <w:pStyle w:val="Nadpis1"/>
        <w:ind w:left="432" w:hanging="432"/>
        <w:jc w:val="center"/>
        <w:rPr>
          <w:rFonts w:asciiTheme="minorHAnsi" w:hAnsiTheme="minorHAnsi"/>
          <w:smallCaps w:val="0"/>
          <w:sz w:val="24"/>
          <w:szCs w:val="28"/>
        </w:rPr>
      </w:pPr>
      <w:r>
        <w:rPr>
          <w:rFonts w:asciiTheme="minorHAnsi" w:hAnsiTheme="minorHAnsi"/>
          <w:smallCaps w:val="0"/>
          <w:sz w:val="24"/>
          <w:szCs w:val="28"/>
        </w:rPr>
        <w:t>NABÍZENÁ TÉMATA</w:t>
      </w:r>
      <w:r w:rsidR="000A6986">
        <w:rPr>
          <w:rFonts w:asciiTheme="minorHAnsi" w:hAnsiTheme="minorHAnsi"/>
          <w:smallCaps w:val="0"/>
          <w:sz w:val="24"/>
          <w:szCs w:val="28"/>
        </w:rPr>
        <w:t xml:space="preserve"> </w:t>
      </w:r>
      <w:r w:rsidR="000A6986">
        <w:rPr>
          <w:rFonts w:asciiTheme="minorHAnsi" w:hAnsiTheme="minorHAnsi"/>
          <w:smallCaps w:val="0"/>
          <w:sz w:val="24"/>
          <w:szCs w:val="28"/>
        </w:rPr>
        <w:t>DISERTAČNÍCH PROJEKTŮ</w:t>
      </w:r>
      <w:r>
        <w:rPr>
          <w:rFonts w:asciiTheme="minorHAnsi" w:hAnsiTheme="minorHAnsi"/>
          <w:smallCaps w:val="0"/>
          <w:sz w:val="24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/>
          <w:smallCaps w:val="0"/>
          <w:sz w:val="24"/>
          <w:szCs w:val="28"/>
        </w:rPr>
        <w:t>PRO AKADEMICKÝ ROK 2020/2021</w:t>
      </w:r>
    </w:p>
    <w:p w14:paraId="509849A1" w14:textId="4D2E88C3" w:rsidR="0004018F" w:rsidRPr="0004018F" w:rsidRDefault="0004018F" w:rsidP="000E0121">
      <w:pPr>
        <w:pStyle w:val="Nadpis1"/>
        <w:ind w:left="432" w:hanging="432"/>
        <w:jc w:val="center"/>
        <w:rPr>
          <w:rFonts w:asciiTheme="minorHAnsi" w:hAnsiTheme="minorHAnsi"/>
          <w:smallCaps w:val="0"/>
          <w:sz w:val="24"/>
        </w:rPr>
      </w:pPr>
      <w:r w:rsidRPr="0004018F">
        <w:rPr>
          <w:rFonts w:asciiTheme="minorHAnsi" w:eastAsia="Times New Roman" w:hAnsiTheme="minorHAnsi"/>
          <w:smallCaps w:val="0"/>
          <w:sz w:val="24"/>
        </w:rPr>
        <w:t xml:space="preserve">PhDr. Martin </w:t>
      </w:r>
      <w:proofErr w:type="spellStart"/>
      <w:r w:rsidRPr="0004018F">
        <w:rPr>
          <w:rFonts w:asciiTheme="minorHAnsi" w:eastAsia="Times New Roman" w:hAnsiTheme="minorHAnsi"/>
          <w:smallCaps w:val="0"/>
          <w:sz w:val="24"/>
        </w:rPr>
        <w:t>Seitl</w:t>
      </w:r>
      <w:proofErr w:type="spellEnd"/>
      <w:r w:rsidRPr="0004018F">
        <w:rPr>
          <w:rFonts w:asciiTheme="minorHAnsi" w:eastAsia="Times New Roman" w:hAnsiTheme="minorHAnsi"/>
          <w:smallCaps w:val="0"/>
          <w:sz w:val="24"/>
        </w:rPr>
        <w:t>, Ph.D</w:t>
      </w:r>
      <w:r w:rsidRPr="0004018F">
        <w:rPr>
          <w:rFonts w:asciiTheme="minorHAnsi" w:hAnsiTheme="minorHAnsi"/>
          <w:smallCaps w:val="0"/>
          <w:sz w:val="24"/>
        </w:rPr>
        <w:t>.</w:t>
      </w:r>
    </w:p>
    <w:p w14:paraId="442367C5" w14:textId="77777777" w:rsidR="0004018F" w:rsidRPr="00485F62" w:rsidRDefault="0004018F" w:rsidP="0004018F">
      <w:pPr>
        <w:spacing w:after="0" w:line="240" w:lineRule="auto"/>
        <w:rPr>
          <w:b/>
        </w:rPr>
      </w:pPr>
      <w:r w:rsidRPr="00485F62">
        <w:rPr>
          <w:b/>
        </w:rPr>
        <w:t>Akademická úspěšnost [studentů psychologie] v kontextu osobnostních předpokladů</w:t>
      </w:r>
    </w:p>
    <w:p w14:paraId="44D10E13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Obor</w:t>
      </w:r>
      <w:r>
        <w:t>: Pedagogická psychologie</w:t>
      </w:r>
    </w:p>
    <w:p w14:paraId="4F5C7AF6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Výzkumná oblast</w:t>
      </w:r>
      <w:r>
        <w:t>: Poradenská, pedagogická a školní psychologie</w:t>
      </w:r>
    </w:p>
    <w:p w14:paraId="099C6BCC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Školitel</w:t>
      </w:r>
      <w:r>
        <w:t xml:space="preserve">: PhDr. Martin </w:t>
      </w:r>
      <w:proofErr w:type="spellStart"/>
      <w:r>
        <w:t>Seitl</w:t>
      </w:r>
      <w:proofErr w:type="spellEnd"/>
      <w:r>
        <w:t xml:space="preserve">, </w:t>
      </w:r>
      <w:proofErr w:type="gramStart"/>
      <w:r>
        <w:t>Ph.D./Mgr.</w:t>
      </w:r>
      <w:proofErr w:type="gramEnd"/>
      <w:r>
        <w:t xml:space="preserve"> Lucie Viktorová, Ph.D.</w:t>
      </w:r>
    </w:p>
    <w:p w14:paraId="238F2A65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Anotace</w:t>
      </w:r>
      <w:r>
        <w:t>: Cílem výzkumu je zjistit, zda lze na základě osobnostních charakteristik předpovídat akademickou, potažmo pak profesní úspěšnost absolventů jednooborového studia psychologie. Téma může být dále upřesněno na základě konzultace se školitelem.</w:t>
      </w:r>
    </w:p>
    <w:p w14:paraId="672A6659" w14:textId="77777777" w:rsidR="0004018F" w:rsidRDefault="0004018F" w:rsidP="0004018F">
      <w:pPr>
        <w:spacing w:after="0" w:line="240" w:lineRule="auto"/>
      </w:pPr>
    </w:p>
    <w:p w14:paraId="0A37501D" w14:textId="77777777" w:rsidR="0004018F" w:rsidRDefault="0004018F" w:rsidP="0004018F">
      <w:pPr>
        <w:spacing w:after="0" w:line="240" w:lineRule="auto"/>
      </w:pPr>
    </w:p>
    <w:p w14:paraId="6027745E" w14:textId="77777777" w:rsidR="0004018F" w:rsidRPr="00485F62" w:rsidRDefault="0004018F" w:rsidP="0004018F">
      <w:pPr>
        <w:spacing w:after="0" w:line="240" w:lineRule="auto"/>
        <w:rPr>
          <w:b/>
        </w:rPr>
      </w:pPr>
      <w:proofErr w:type="spellStart"/>
      <w:r w:rsidRPr="00485F62">
        <w:rPr>
          <w:b/>
        </w:rPr>
        <w:t>Zulligerův</w:t>
      </w:r>
      <w:proofErr w:type="spellEnd"/>
      <w:r w:rsidRPr="00485F62">
        <w:rPr>
          <w:b/>
        </w:rPr>
        <w:t xml:space="preserve"> test a jeho validita</w:t>
      </w:r>
    </w:p>
    <w:p w14:paraId="551B7536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Obor</w:t>
      </w:r>
      <w:r>
        <w:t>: Pedagogická psychologie</w:t>
      </w:r>
    </w:p>
    <w:p w14:paraId="31CDB445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Výzkumná oblast</w:t>
      </w:r>
      <w:r>
        <w:t>: Psychologie práce, organizace a dopravní psychologie</w:t>
      </w:r>
    </w:p>
    <w:p w14:paraId="07A70BB5" w14:textId="77777777" w:rsidR="0004018F" w:rsidRDefault="0004018F" w:rsidP="0004018F">
      <w:pPr>
        <w:spacing w:after="0" w:line="240" w:lineRule="auto"/>
        <w:jc w:val="both"/>
      </w:pPr>
      <w:r w:rsidRPr="0004018F">
        <w:rPr>
          <w:u w:val="single"/>
        </w:rPr>
        <w:t>Školitel</w:t>
      </w:r>
      <w:r>
        <w:t xml:space="preserve">: PhDr. Martin </w:t>
      </w:r>
      <w:proofErr w:type="spellStart"/>
      <w:r>
        <w:t>Seitl</w:t>
      </w:r>
      <w:proofErr w:type="spellEnd"/>
      <w:r>
        <w:t>, Ph.D.</w:t>
      </w:r>
    </w:p>
    <w:p w14:paraId="47023770" w14:textId="77777777" w:rsidR="0004018F" w:rsidRDefault="0004018F" w:rsidP="0004018F">
      <w:pPr>
        <w:spacing w:after="0" w:line="240" w:lineRule="auto"/>
        <w:jc w:val="both"/>
      </w:pPr>
      <w:r w:rsidRPr="0004018F">
        <w:rPr>
          <w:u w:val="single"/>
        </w:rPr>
        <w:t>Anotace</w:t>
      </w:r>
      <w:r>
        <w:t xml:space="preserve">: Testová psychodiagnostika se potýká s nedostatečným zastoupením screeningových projektivních metod, podložených odpovídajícími výzkumnými závěry v kontextu evidence </w:t>
      </w:r>
      <w:proofErr w:type="spellStart"/>
      <w:r>
        <w:t>based</w:t>
      </w:r>
      <w:proofErr w:type="spellEnd"/>
      <w:r>
        <w:t xml:space="preserve"> přístupu. Týká se to zejména projektivních metod s potenciálem registrovat širší pole osobnostní problematiky v pedagogické a poradenské psychologii. V posledních letech se ve výzkumných studiích i praxi projevuje renesance zájmu o </w:t>
      </w:r>
      <w:proofErr w:type="spellStart"/>
      <w:r>
        <w:t>Zulligerův</w:t>
      </w:r>
      <w:proofErr w:type="spellEnd"/>
      <w:r>
        <w:t xml:space="preserve"> test. Zdrojem zájmu je především potřeba standardizované a výzkumně ověřené metody a) s potenciálem k ověření výsledků z jiných typů metod, b) vhodné pro orientační posouzení osobnosti v situacích, kde robustní metody nejsou z časových či ekonomických důvodů možné, c) vhodné pro úvodní posouzení osobnosti za účelem upřesnění diagnostické zakázky. V uplynulých letech proběhlo několik pokusů o aplikaci Komprehensivního systému pro </w:t>
      </w:r>
      <w:proofErr w:type="spellStart"/>
      <w:r>
        <w:t>Rorschachovu</w:t>
      </w:r>
      <w:proofErr w:type="spellEnd"/>
      <w:r>
        <w:t xml:space="preserve"> metodu na </w:t>
      </w:r>
      <w:proofErr w:type="spellStart"/>
      <w:r>
        <w:t>Zulligerův</w:t>
      </w:r>
      <w:proofErr w:type="spellEnd"/>
      <w:r>
        <w:t xml:space="preserve"> test, současně proběhl vývoj některých částí </w:t>
      </w:r>
      <w:proofErr w:type="spellStart"/>
      <w:r>
        <w:t>Komprehesivního</w:t>
      </w:r>
      <w:proofErr w:type="spellEnd"/>
      <w:r>
        <w:t xml:space="preserve"> systému analogicky pro </w:t>
      </w:r>
      <w:proofErr w:type="spellStart"/>
      <w:r>
        <w:t>Zulligerův</w:t>
      </w:r>
      <w:proofErr w:type="spellEnd"/>
      <w:r>
        <w:t xml:space="preserve"> test. Větší část otázek však zůstává otevřena, protože nejnovější výsledky výzkumů do značné míry nepodporují přenositelnost interpretačních významů ROR podle Komprehenzivního systému na </w:t>
      </w:r>
      <w:proofErr w:type="spellStart"/>
      <w:r>
        <w:t>Zulliger</w:t>
      </w:r>
      <w:proofErr w:type="spellEnd"/>
      <w:r>
        <w:t xml:space="preserve"> test.   </w:t>
      </w:r>
    </w:p>
    <w:p w14:paraId="0221722A" w14:textId="77777777" w:rsidR="0004018F" w:rsidRDefault="0004018F" w:rsidP="0004018F">
      <w:pPr>
        <w:jc w:val="both"/>
      </w:pPr>
      <w:r>
        <w:t xml:space="preserve">Primárním cílem navrhovaných doktorských projektů by mělo být provedení </w:t>
      </w:r>
      <w:proofErr w:type="spellStart"/>
      <w:r>
        <w:t>validizačních</w:t>
      </w:r>
      <w:proofErr w:type="spellEnd"/>
      <w:r>
        <w:t xml:space="preserve"> studií </w:t>
      </w:r>
      <w:proofErr w:type="spellStart"/>
      <w:r>
        <w:t>Zulligerova</w:t>
      </w:r>
      <w:proofErr w:type="spellEnd"/>
      <w:r>
        <w:t xml:space="preserve"> testu, zejména s využitím externích kritérií v podobě anamnestických údajů, zpráv externích hodnotitelů, výsledků činnosti apod. v různých skupinách respondentů. Vhodným, nikoliv však jediným, nástrojem </w:t>
      </w:r>
      <w:proofErr w:type="spellStart"/>
      <w:r>
        <w:t>validizačních</w:t>
      </w:r>
      <w:proofErr w:type="spellEnd"/>
      <w:r>
        <w:t xml:space="preserve"> studií mohou být i další psychodiagnostické metody. Sekundárním cílem doktorských projektů je zapojení se do procesu standardizace </w:t>
      </w:r>
      <w:proofErr w:type="spellStart"/>
      <w:r>
        <w:t>Zulligerova</w:t>
      </w:r>
      <w:proofErr w:type="spellEnd"/>
      <w:r>
        <w:t xml:space="preserve"> testu, probíhajícího na Katedře psychologie FF UP v Olomouci, s využitím zahraničních výsledků, Komprehenzivního systému pro ROR a R-PAS. </w:t>
      </w:r>
    </w:p>
    <w:p w14:paraId="5B3EF4A0" w14:textId="77777777" w:rsidR="0004018F" w:rsidRDefault="0004018F" w:rsidP="0004018F">
      <w:pPr>
        <w:spacing w:after="0" w:line="240" w:lineRule="auto"/>
        <w:jc w:val="both"/>
      </w:pPr>
      <w:r w:rsidRPr="0004018F">
        <w:rPr>
          <w:u w:val="single"/>
        </w:rPr>
        <w:t>Literatura</w:t>
      </w:r>
    </w:p>
    <w:p w14:paraId="646C57A4" w14:textId="4D81B6D4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de </w:t>
      </w:r>
      <w:proofErr w:type="spellStart"/>
      <w:r>
        <w:t>Villemor-Amaral</w:t>
      </w:r>
      <w:proofErr w:type="spellEnd"/>
      <w:r>
        <w:t xml:space="preserve">, A. E., </w:t>
      </w:r>
      <w:proofErr w:type="spellStart"/>
      <w:r>
        <w:t>Pianowski</w:t>
      </w:r>
      <w:proofErr w:type="spellEnd"/>
      <w:r>
        <w:t xml:space="preserve">, G., &amp;  de Francisco </w:t>
      </w:r>
      <w:proofErr w:type="spellStart"/>
      <w:r>
        <w:t>Carvalho</w:t>
      </w:r>
      <w:proofErr w:type="spellEnd"/>
      <w:r>
        <w:t xml:space="preserve">, L. (2016).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,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Test. </w:t>
      </w:r>
      <w:proofErr w:type="spellStart"/>
      <w:r>
        <w:t>Rorschachiana</w:t>
      </w:r>
      <w:proofErr w:type="spellEnd"/>
      <w:r>
        <w:t>, 37(2), pp. 95-113.</w:t>
      </w:r>
    </w:p>
    <w:p w14:paraId="2511E961" w14:textId="377FB1FB" w:rsidR="558B7D74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de </w:t>
      </w:r>
      <w:proofErr w:type="spellStart"/>
      <w:r>
        <w:t>Villemor-Amaral</w:t>
      </w:r>
      <w:proofErr w:type="spellEnd"/>
      <w:r>
        <w:t xml:space="preserve">, A. E. &amp;  </w:t>
      </w:r>
      <w:proofErr w:type="spellStart"/>
      <w:r>
        <w:t>Machado</w:t>
      </w:r>
      <w:proofErr w:type="spellEnd"/>
      <w:r>
        <w:t xml:space="preserve">, M. A. S. (2011).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index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(ZSC). </w:t>
      </w:r>
      <w:proofErr w:type="spellStart"/>
      <w:r>
        <w:t>Paidéia</w:t>
      </w:r>
      <w:proofErr w:type="spellEnd"/>
      <w:r>
        <w:t xml:space="preserve">, 21(48), pp. 21-27. </w:t>
      </w:r>
    </w:p>
    <w:p w14:paraId="1E4ACD68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de </w:t>
      </w:r>
      <w:proofErr w:type="spellStart"/>
      <w:r>
        <w:t>Villemor-Amaral</w:t>
      </w:r>
      <w:proofErr w:type="spellEnd"/>
      <w:r>
        <w:t xml:space="preserve">, A. E., </w:t>
      </w:r>
      <w:proofErr w:type="spellStart"/>
      <w:r>
        <w:t>Machado</w:t>
      </w:r>
      <w:proofErr w:type="spellEnd"/>
      <w:r>
        <w:t xml:space="preserve">, M. A. S., &amp; </w:t>
      </w:r>
      <w:proofErr w:type="spellStart"/>
      <w:r>
        <w:t>Noronha</w:t>
      </w:r>
      <w:proofErr w:type="spellEnd"/>
      <w:r>
        <w:t xml:space="preserve">, A. P. P. (2008).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a reliability study. </w:t>
      </w:r>
      <w:proofErr w:type="spellStart"/>
      <w:r>
        <w:t>Psicologia</w:t>
      </w:r>
      <w:proofErr w:type="spellEnd"/>
      <w:r>
        <w:t xml:space="preserve">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Profissão</w:t>
      </w:r>
      <w:proofErr w:type="spellEnd"/>
      <w:r>
        <w:t>, 29 (4), pp. 656-671.</w:t>
      </w:r>
    </w:p>
    <w:p w14:paraId="7748F8BE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Exner Jr., J. (2003).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Rorschach</w:t>
      </w:r>
      <w:proofErr w:type="spellEnd"/>
      <w:r>
        <w:t xml:space="preserve">.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(4th </w:t>
      </w:r>
      <w:proofErr w:type="spellStart"/>
      <w:r>
        <w:t>ed</w:t>
      </w:r>
      <w:proofErr w:type="spellEnd"/>
      <w:r>
        <w:t xml:space="preserve">.). </w:t>
      </w:r>
      <w:proofErr w:type="spellStart"/>
      <w:r>
        <w:t>Hoboken</w:t>
      </w:r>
      <w:proofErr w:type="spellEnd"/>
      <w:r>
        <w:t xml:space="preserve">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 </w:t>
      </w:r>
    </w:p>
    <w:p w14:paraId="592309A1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Ferreira</w:t>
      </w:r>
      <w:proofErr w:type="spellEnd"/>
      <w:r>
        <w:t xml:space="preserve">, M. E. A. &amp; de </w:t>
      </w:r>
      <w:proofErr w:type="spellStart"/>
      <w:r>
        <w:t>Villemor-Amaral</w:t>
      </w:r>
      <w:proofErr w:type="spellEnd"/>
      <w:r>
        <w:t xml:space="preserve">, A. E. (2005).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Test and Job Performance </w:t>
      </w:r>
      <w:proofErr w:type="spellStart"/>
      <w:r>
        <w:t>Evaluation</w:t>
      </w:r>
      <w:proofErr w:type="spellEnd"/>
      <w:r>
        <w:t xml:space="preserve">. </w:t>
      </w:r>
      <w:proofErr w:type="spellStart"/>
      <w:r>
        <w:t>Paidéia</w:t>
      </w:r>
      <w:proofErr w:type="spellEnd"/>
      <w:r>
        <w:t xml:space="preserve">, 15(32), pp. 367-376. </w:t>
      </w:r>
    </w:p>
    <w:p w14:paraId="7A5B304D" w14:textId="29796C8E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Michal, V. (1998). </w:t>
      </w:r>
      <w:proofErr w:type="spellStart"/>
      <w:r>
        <w:t>Zulligerův</w:t>
      </w:r>
      <w:proofErr w:type="spellEnd"/>
      <w:r>
        <w:t xml:space="preserve"> tabulkový test. Stručný úvod do </w:t>
      </w:r>
      <w:proofErr w:type="spellStart"/>
      <w:r>
        <w:t>Zulligerovy</w:t>
      </w:r>
      <w:proofErr w:type="spellEnd"/>
      <w:r>
        <w:t xml:space="preserve"> projektivní techniky. Trnávka u Nového Jičína: Jindřich </w:t>
      </w:r>
      <w:proofErr w:type="spellStart"/>
      <w:r>
        <w:t>Horkel</w:t>
      </w:r>
      <w:proofErr w:type="spellEnd"/>
      <w:r>
        <w:t xml:space="preserve"> Elektronik Test. </w:t>
      </w:r>
    </w:p>
    <w:p w14:paraId="12E62E87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Zulliger</w:t>
      </w:r>
      <w:proofErr w:type="spellEnd"/>
      <w:r>
        <w:t xml:space="preserve">, H. (1994). </w:t>
      </w:r>
      <w:proofErr w:type="spellStart"/>
      <w:r>
        <w:t>Zulligerův</w:t>
      </w:r>
      <w:proofErr w:type="spellEnd"/>
      <w:r>
        <w:t xml:space="preserve"> projektivní test. Příručka: překlad L. Richter. Praha: Institut pedagogicko-psychologického poradenství ČR.  </w:t>
      </w:r>
    </w:p>
    <w:p w14:paraId="1B64FC95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Lis, A., </w:t>
      </w:r>
      <w:proofErr w:type="spellStart"/>
      <w:r>
        <w:t>Tiziana</w:t>
      </w:r>
      <w:proofErr w:type="spellEnd"/>
      <w:r>
        <w:t xml:space="preserve">, M., &amp; </w:t>
      </w:r>
      <w:proofErr w:type="spellStart"/>
      <w:r>
        <w:t>Germano</w:t>
      </w:r>
      <w:proofErr w:type="spellEnd"/>
      <w:r>
        <w:t xml:space="preserve">, R. (1990).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Test (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Rorschach</w:t>
      </w:r>
      <w:proofErr w:type="spellEnd"/>
      <w:r>
        <w:t xml:space="preserve"> Test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6–11.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Projective</w:t>
      </w:r>
      <w:proofErr w:type="spellEnd"/>
      <w:r>
        <w:t xml:space="preserve"> Psychology, 35(2), pp. 35-48.</w:t>
      </w:r>
    </w:p>
    <w:p w14:paraId="1A03E902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Mahmood</w:t>
      </w:r>
      <w:proofErr w:type="spellEnd"/>
      <w:r>
        <w:t xml:space="preserve">, Z. (1990).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Zulliger</w:t>
      </w:r>
      <w:proofErr w:type="spellEnd"/>
      <w:r>
        <w:t xml:space="preserve"> Test: </w:t>
      </w:r>
      <w:proofErr w:type="spellStart"/>
      <w:r>
        <w:t>Its</w:t>
      </w:r>
      <w:proofErr w:type="spellEnd"/>
      <w:r>
        <w:t xml:space="preserve"> past and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Projective</w:t>
      </w:r>
      <w:proofErr w:type="spellEnd"/>
      <w:r>
        <w:t xml:space="preserve"> Psychology, 35(2), pp. 2-16.</w:t>
      </w:r>
    </w:p>
    <w:p w14:paraId="4E0B3D61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Mattlar</w:t>
      </w:r>
      <w:proofErr w:type="spellEnd"/>
      <w:r>
        <w:t xml:space="preserve">, C. E., </w:t>
      </w:r>
      <w:proofErr w:type="spellStart"/>
      <w:r>
        <w:t>Forsander</w:t>
      </w:r>
      <w:proofErr w:type="spellEnd"/>
      <w:r>
        <w:t xml:space="preserve">, C., </w:t>
      </w:r>
      <w:proofErr w:type="spellStart"/>
      <w:r>
        <w:t>Norrlund</w:t>
      </w:r>
      <w:proofErr w:type="spellEnd"/>
      <w:r>
        <w:t xml:space="preserve">, L., </w:t>
      </w:r>
      <w:proofErr w:type="spellStart"/>
      <w:r>
        <w:t>Carlsson</w:t>
      </w:r>
      <w:proofErr w:type="spellEnd"/>
      <w:r>
        <w:t xml:space="preserve">, A., </w:t>
      </w:r>
      <w:proofErr w:type="spellStart"/>
      <w:r>
        <w:t>Vesala</w:t>
      </w:r>
      <w:proofErr w:type="spellEnd"/>
      <w:r>
        <w:t xml:space="preserve">, P., </w:t>
      </w:r>
      <w:proofErr w:type="spellStart"/>
      <w:r>
        <w:t>Öist</w:t>
      </w:r>
      <w:proofErr w:type="spellEnd"/>
      <w:r>
        <w:t xml:space="preserve">, A., &amp; </w:t>
      </w:r>
      <w:proofErr w:type="spellStart"/>
      <w:r>
        <w:t>Uhinki</w:t>
      </w:r>
      <w:proofErr w:type="spellEnd"/>
      <w:r>
        <w:t xml:space="preserve">, A. (1993). A </w:t>
      </w:r>
      <w:proofErr w:type="spellStart"/>
      <w:r>
        <w:t>Zulliger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 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Rorschach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 Turku: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14:paraId="1FF9EE14" w14:textId="77777777" w:rsidR="0004018F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Meyer</w:t>
      </w:r>
      <w:proofErr w:type="spellEnd"/>
      <w:r>
        <w:t xml:space="preserve">, G. J., </w:t>
      </w:r>
      <w:proofErr w:type="spellStart"/>
      <w:r>
        <w:t>Viglione</w:t>
      </w:r>
      <w:proofErr w:type="spellEnd"/>
      <w:r>
        <w:t xml:space="preserve">, D. J., </w:t>
      </w:r>
      <w:proofErr w:type="spellStart"/>
      <w:r>
        <w:t>Mihura</w:t>
      </w:r>
      <w:proofErr w:type="spellEnd"/>
      <w:r>
        <w:t xml:space="preserve">, J. L., </w:t>
      </w:r>
      <w:proofErr w:type="spellStart"/>
      <w:r>
        <w:t>Erard</w:t>
      </w:r>
      <w:proofErr w:type="spellEnd"/>
      <w:r>
        <w:t xml:space="preserve">, R. E., &amp; </w:t>
      </w:r>
      <w:proofErr w:type="spellStart"/>
      <w:r>
        <w:t>Erdberg</w:t>
      </w:r>
      <w:proofErr w:type="spellEnd"/>
      <w:r>
        <w:t xml:space="preserve">, P. (2011). </w:t>
      </w:r>
      <w:proofErr w:type="spellStart"/>
      <w:r>
        <w:t>Rorschach</w:t>
      </w:r>
      <w:proofErr w:type="spellEnd"/>
      <w:r>
        <w:t xml:space="preserve"> Performance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Coding</w:t>
      </w:r>
      <w:proofErr w:type="spellEnd"/>
      <w:r>
        <w:t xml:space="preserve">, </w:t>
      </w:r>
      <w:proofErr w:type="spellStart"/>
      <w:r>
        <w:t>Interpretation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 Toledo: RPAS.</w:t>
      </w:r>
    </w:p>
    <w:p w14:paraId="2EAE9009" w14:textId="79A45CDF" w:rsidR="558B7D74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558B7D74">
        <w:t>Seitl</w:t>
      </w:r>
      <w:proofErr w:type="spellEnd"/>
      <w:r w:rsidRPr="558B7D74">
        <w:t xml:space="preserve">, M., Dočkalová, J., Dostál, D., Kolařík, M., Hasoňová, V., Palová, K. &amp; </w:t>
      </w:r>
      <w:proofErr w:type="spellStart"/>
      <w:r w:rsidRPr="558B7D74">
        <w:t>Fryštacká</w:t>
      </w:r>
      <w:proofErr w:type="spellEnd"/>
      <w:r w:rsidRPr="558B7D74">
        <w:t>, K. (2018).</w:t>
      </w:r>
      <w:r w:rsidRPr="558B7D74">
        <w:rPr>
          <w:b/>
          <w:bCs/>
        </w:rPr>
        <w:t xml:space="preserve"> </w:t>
      </w:r>
      <w:r w:rsidRPr="558B7D74">
        <w:t xml:space="preserve">Standardizace počtu odpovědí v </w:t>
      </w:r>
      <w:proofErr w:type="spellStart"/>
      <w:r w:rsidRPr="558B7D74">
        <w:t>Zulligerově</w:t>
      </w:r>
      <w:proofErr w:type="spellEnd"/>
      <w:r w:rsidRPr="558B7D74">
        <w:t xml:space="preserve"> testu: první krok při vývoji nového evidence-</w:t>
      </w:r>
      <w:proofErr w:type="spellStart"/>
      <w:r w:rsidRPr="558B7D74">
        <w:t>based</w:t>
      </w:r>
      <w:proofErr w:type="spellEnd"/>
      <w:r w:rsidRPr="558B7D74">
        <w:t xml:space="preserve"> systému. E-psychologie, 12(4), 1-15.</w:t>
      </w:r>
    </w:p>
    <w:p w14:paraId="11A909ED" w14:textId="26963BF6" w:rsidR="558B7D74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558B7D74">
        <w:t>Seitl</w:t>
      </w:r>
      <w:proofErr w:type="spellEnd"/>
      <w:r w:rsidRPr="558B7D74">
        <w:t>, M. &amp; Andrle, I. (2017).</w:t>
      </w:r>
      <w:r w:rsidRPr="558B7D74">
        <w:rPr>
          <w:b/>
          <w:bCs/>
        </w:rPr>
        <w:t xml:space="preserve"> </w:t>
      </w:r>
      <w:r w:rsidRPr="558B7D74">
        <w:t xml:space="preserve">ROR online: Asistenční on-line program pro zápis, skórování a vyhodnocení protokolů </w:t>
      </w:r>
      <w:proofErr w:type="spellStart"/>
      <w:r w:rsidRPr="558B7D74">
        <w:t>Rorschachovy</w:t>
      </w:r>
      <w:proofErr w:type="spellEnd"/>
      <w:r w:rsidRPr="558B7D74">
        <w:t xml:space="preserve"> metody administrované s využitím Komprehenzivního systému [Software]. Kuřim: IPS.</w:t>
      </w:r>
      <w:r w:rsidRPr="558B7D74">
        <w:rPr>
          <w:b/>
          <w:bCs/>
        </w:rPr>
        <w:t xml:space="preserve"> </w:t>
      </w:r>
    </w:p>
    <w:p w14:paraId="014FFD91" w14:textId="0B872BE5" w:rsidR="558B7D74" w:rsidRDefault="558B7D74" w:rsidP="558B7D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558B7D74">
        <w:t>Seitl</w:t>
      </w:r>
      <w:proofErr w:type="spellEnd"/>
      <w:r w:rsidRPr="558B7D74">
        <w:t xml:space="preserve">, M., &amp; </w:t>
      </w:r>
      <w:proofErr w:type="spellStart"/>
      <w:r w:rsidRPr="558B7D74">
        <w:t>Lečbych</w:t>
      </w:r>
      <w:proofErr w:type="spellEnd"/>
      <w:r w:rsidRPr="558B7D74">
        <w:t xml:space="preserve">, M. (2016). Lidská pohybová determinanta v </w:t>
      </w:r>
      <w:proofErr w:type="spellStart"/>
      <w:r w:rsidRPr="558B7D74">
        <w:t>Rorschachově</w:t>
      </w:r>
      <w:proofErr w:type="spellEnd"/>
      <w:r w:rsidRPr="558B7D74">
        <w:t xml:space="preserve"> metodě. Olomouc: VUP.</w:t>
      </w:r>
    </w:p>
    <w:p w14:paraId="408CC785" w14:textId="0FE43E06" w:rsidR="558B7D74" w:rsidRDefault="558B7D74" w:rsidP="558B7D74">
      <w:pPr>
        <w:spacing w:after="0" w:line="240" w:lineRule="auto"/>
        <w:ind w:left="360"/>
      </w:pPr>
    </w:p>
    <w:p w14:paraId="02EB378F" w14:textId="77777777" w:rsidR="0004018F" w:rsidRDefault="0004018F" w:rsidP="0004018F">
      <w:pPr>
        <w:spacing w:after="0" w:line="240" w:lineRule="auto"/>
      </w:pPr>
    </w:p>
    <w:p w14:paraId="6A05A809" w14:textId="77777777" w:rsidR="0004018F" w:rsidRDefault="0004018F" w:rsidP="0004018F">
      <w:pPr>
        <w:spacing w:after="0" w:line="240" w:lineRule="auto"/>
      </w:pPr>
    </w:p>
    <w:p w14:paraId="41AE8811" w14:textId="77777777" w:rsidR="0004018F" w:rsidRPr="00485F62" w:rsidRDefault="0004018F" w:rsidP="0004018F">
      <w:pPr>
        <w:spacing w:after="0" w:line="240" w:lineRule="auto"/>
        <w:rPr>
          <w:b/>
        </w:rPr>
      </w:pPr>
      <w:r w:rsidRPr="00485F62">
        <w:rPr>
          <w:b/>
        </w:rPr>
        <w:t>Teorie vztahové vazby v terciálním vzdělávání</w:t>
      </w:r>
    </w:p>
    <w:p w14:paraId="2EF204CB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Obor</w:t>
      </w:r>
      <w:r>
        <w:t>: Pedagogická psychologie</w:t>
      </w:r>
    </w:p>
    <w:p w14:paraId="734AE613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Výzkumná oblast</w:t>
      </w:r>
      <w:r>
        <w:t>: Psychologie práce, organizace a dopravní psychologie</w:t>
      </w:r>
    </w:p>
    <w:p w14:paraId="44A3A270" w14:textId="77777777" w:rsidR="0004018F" w:rsidRDefault="0004018F" w:rsidP="0004018F">
      <w:pPr>
        <w:spacing w:after="0" w:line="240" w:lineRule="auto"/>
      </w:pPr>
      <w:r w:rsidRPr="0004018F">
        <w:rPr>
          <w:u w:val="single"/>
        </w:rPr>
        <w:t>Školitel</w:t>
      </w:r>
      <w:r>
        <w:t xml:space="preserve">: PhDr. Martin </w:t>
      </w:r>
      <w:proofErr w:type="spellStart"/>
      <w:r>
        <w:t>Seitl</w:t>
      </w:r>
      <w:proofErr w:type="spellEnd"/>
      <w:r>
        <w:t xml:space="preserve">, </w:t>
      </w:r>
      <w:proofErr w:type="spellStart"/>
      <w:r>
        <w:t>Ph.D</w:t>
      </w:r>
      <w:proofErr w:type="spellEnd"/>
    </w:p>
    <w:p w14:paraId="299AD26B" w14:textId="77777777" w:rsidR="0004018F" w:rsidRDefault="0004018F" w:rsidP="0004018F">
      <w:pPr>
        <w:jc w:val="both"/>
        <w:rPr>
          <w:rFonts w:eastAsiaTheme="minorHAnsi"/>
        </w:rPr>
      </w:pPr>
      <w:r w:rsidRPr="0004018F">
        <w:rPr>
          <w:u w:val="single"/>
        </w:rPr>
        <w:t>Anotace</w:t>
      </w:r>
      <w:r>
        <w:t xml:space="preserve">: Teorie vztahové vazby v dospělosti je primárně teorií dynamiky blízkých vztahů a dospělé vztahovosti obecně. Na základě biologicky zakódovaných systémů vztahového chování a zkušeností ze vztahů s pečujícími, blízkými ale i dalšími osobami, dochází k vytváření relativně stabilních vzorců (tzv. vnitřních pracovních modelů), které jsou uplatňovány při utváření a udržování nových vztahů. V návaznosti na vývoj teorie vztahové vazby a její postupné prorůstaní do řady psychologických oblastí věnujeme pozornost hlubším souvislostem a efektům v kontextu vysokoškolského vzdělávání. V současných výzkumných designech jsou řešeny </w:t>
      </w:r>
      <w:proofErr w:type="spellStart"/>
      <w:r>
        <w:t>bivariační</w:t>
      </w:r>
      <w:proofErr w:type="spellEnd"/>
      <w:r>
        <w:t xml:space="preserve"> souvislosti mezi vztahovou vazbou a preferovaným pracovním prostředím u vysokoškolských studentů, vztahovou vazbou a motivací k zahraniční mobilitě či vztahovou vazbou a jistotou v kariérové volbě. </w:t>
      </w:r>
    </w:p>
    <w:p w14:paraId="47C6F62B" w14:textId="77777777" w:rsidR="0004018F" w:rsidRDefault="0004018F" w:rsidP="0004018F">
      <w:pPr>
        <w:jc w:val="both"/>
      </w:pPr>
      <w:r>
        <w:t xml:space="preserve">Primárním cílem navrhovaných doktorských projektů by mělo být prohloubení poznatků o prožívání a chování vysokoškolských studentů s různými styly vztahové vazby. Preferovány jsou projekty zapojující do výzkumu intervenující proměnné (např. kariérní poradenství, sociálně-psychologický výcvik, </w:t>
      </w:r>
      <w:proofErr w:type="spellStart"/>
      <w:r>
        <w:t>koučink</w:t>
      </w:r>
      <w:proofErr w:type="spellEnd"/>
      <w:r>
        <w:t xml:space="preserve">, zahraniční mobilitu, pracovní zkušenosti atp.) a kontrolní skupiny. Podobně žádoucí je zahrnout do designu projektů sledování efektů intervenujících proměnných na prožívání a chování v definovaném časovém horizontu, a to jak sebeposouzením, tak formou tzv. objektivních dat (např. výsledky vysokoškolského studia u respondentů s různými styly vztahové vazby). Doplňkově mohou být projekty obohaceny o sledování dalších osobnostních či týmových proměnných (dispozice, hodnoty, motivace, týmové vztahy a interakce).     </w:t>
      </w:r>
    </w:p>
    <w:p w14:paraId="5388DDE8" w14:textId="77777777" w:rsidR="0004018F" w:rsidRDefault="0004018F" w:rsidP="0004018F">
      <w:pPr>
        <w:spacing w:after="0" w:line="240" w:lineRule="auto"/>
        <w:jc w:val="both"/>
      </w:pPr>
      <w:r w:rsidRPr="0004018F">
        <w:rPr>
          <w:u w:val="single"/>
        </w:rPr>
        <w:t>Literatura</w:t>
      </w:r>
    </w:p>
    <w:p w14:paraId="5557CDFA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lastRenderedPageBreak/>
        <w:t>Bowlby</w:t>
      </w:r>
      <w:proofErr w:type="spellEnd"/>
      <w:r>
        <w:t>, J. (2010). Vazba. Teorie kvality raných vztahů mezi matkou a dítětem. Praha: Portál.</w:t>
      </w:r>
    </w:p>
    <w:p w14:paraId="03D146BB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Bowlby</w:t>
      </w:r>
      <w:proofErr w:type="spellEnd"/>
      <w:r>
        <w:t>, J. (2012). Odloučení. Kritické období raného vztahu mezi matkou a dítětem. Praha: Portál.</w:t>
      </w:r>
    </w:p>
    <w:p w14:paraId="4C608BD6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Bowlby</w:t>
      </w:r>
      <w:proofErr w:type="spellEnd"/>
      <w:r>
        <w:t xml:space="preserve">, J. (2013). Ztráta. Smutek a deprese. Praha: Portál. </w:t>
      </w:r>
    </w:p>
    <w:p w14:paraId="7B31A379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Harms</w:t>
      </w:r>
      <w:proofErr w:type="spellEnd"/>
      <w:r>
        <w:t xml:space="preserve">, P. D. (2011):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.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Management Review 21, 285-296.</w:t>
      </w:r>
    </w:p>
    <w:p w14:paraId="4C1A1D64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Hazan</w:t>
      </w:r>
      <w:proofErr w:type="spellEnd"/>
      <w:r>
        <w:t xml:space="preserve">, C., </w:t>
      </w:r>
      <w:proofErr w:type="spellStart"/>
      <w:r>
        <w:t>Shaver</w:t>
      </w:r>
      <w:proofErr w:type="spellEnd"/>
      <w:r>
        <w:t xml:space="preserve">, P. R. (1987): </w:t>
      </w:r>
      <w:proofErr w:type="spellStart"/>
      <w:r>
        <w:t>Romantic</w:t>
      </w:r>
      <w:proofErr w:type="spellEnd"/>
      <w:r>
        <w:t xml:space="preserve"> love </w:t>
      </w:r>
      <w:proofErr w:type="spellStart"/>
      <w:r>
        <w:t>conceptualized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Personality and </w:t>
      </w:r>
      <w:proofErr w:type="spellStart"/>
      <w:r>
        <w:t>Social</w:t>
      </w:r>
      <w:proofErr w:type="spellEnd"/>
      <w:r>
        <w:t xml:space="preserve"> Psychology 52, 511-524.</w:t>
      </w:r>
    </w:p>
    <w:p w14:paraId="4530605A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Mikulincer</w:t>
      </w:r>
      <w:proofErr w:type="spellEnd"/>
      <w:r>
        <w:t xml:space="preserve">, M., </w:t>
      </w:r>
      <w:proofErr w:type="spellStart"/>
      <w:r>
        <w:t>Shaver</w:t>
      </w:r>
      <w:proofErr w:type="spellEnd"/>
      <w:r>
        <w:t xml:space="preserve">, P. R. (2003):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adulthood</w:t>
      </w:r>
      <w:proofErr w:type="spellEnd"/>
      <w:r>
        <w:t xml:space="preserve">: </w:t>
      </w:r>
      <w:proofErr w:type="spellStart"/>
      <w:r>
        <w:t>activation</w:t>
      </w:r>
      <w:proofErr w:type="spellEnd"/>
      <w:r>
        <w:t xml:space="preserve">, </w:t>
      </w:r>
      <w:proofErr w:type="spellStart"/>
      <w:r>
        <w:t>psychodynamics</w:t>
      </w:r>
      <w:proofErr w:type="spellEnd"/>
      <w:r>
        <w:t xml:space="preserve">, and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In: </w:t>
      </w:r>
      <w:proofErr w:type="spellStart"/>
      <w:r>
        <w:t>Zanna</w:t>
      </w:r>
      <w:proofErr w:type="spellEnd"/>
      <w:r>
        <w:t xml:space="preserve">, M. P. (Ed.),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Psychology. New York,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53-152.</w:t>
      </w:r>
    </w:p>
    <w:p w14:paraId="5A3AB443" w14:textId="15B9B2DD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Mikulincer</w:t>
      </w:r>
      <w:proofErr w:type="spellEnd"/>
      <w:r>
        <w:t xml:space="preserve">, M., </w:t>
      </w:r>
      <w:proofErr w:type="spellStart"/>
      <w:r>
        <w:t>Shaver</w:t>
      </w:r>
      <w:proofErr w:type="spellEnd"/>
      <w:r>
        <w:t xml:space="preserve">, P. R. (2016): </w:t>
      </w:r>
      <w:proofErr w:type="spellStart"/>
      <w:r>
        <w:t>Attachment</w:t>
      </w:r>
      <w:proofErr w:type="spellEnd"/>
      <w:r>
        <w:t xml:space="preserve"> in </w:t>
      </w:r>
      <w:proofErr w:type="spellStart"/>
      <w:r>
        <w:t>Adulthood</w:t>
      </w:r>
      <w:proofErr w:type="spellEnd"/>
      <w:r>
        <w:t xml:space="preserve"> (2nd </w:t>
      </w:r>
      <w:proofErr w:type="spellStart"/>
      <w:r>
        <w:t>ed</w:t>
      </w:r>
      <w:proofErr w:type="spellEnd"/>
      <w:r>
        <w:t xml:space="preserve">.). New York City, </w:t>
      </w:r>
      <w:proofErr w:type="spellStart"/>
      <w:r>
        <w:t>Guilford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14:paraId="6701EF6F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Seitl</w:t>
      </w:r>
      <w:proofErr w:type="spellEnd"/>
      <w:r>
        <w:t xml:space="preserve">, M., Charvát, M., &amp; </w:t>
      </w:r>
      <w:proofErr w:type="spellStart"/>
      <w:r>
        <w:t>Lečbych</w:t>
      </w:r>
      <w:proofErr w:type="spellEnd"/>
      <w:r>
        <w:t xml:space="preserve">, M. (2016). Psychometrické charakteristiky české verze škály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(ECR). Československá psychologie, 60(4), pp 351-371. </w:t>
      </w:r>
    </w:p>
    <w:p w14:paraId="159867AB" w14:textId="724D001D" w:rsidR="558B7D74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 w:rsidRPr="558B7D74">
        <w:t>Seitl</w:t>
      </w:r>
      <w:proofErr w:type="spellEnd"/>
      <w:r w:rsidRPr="558B7D74">
        <w:t xml:space="preserve">, M. &amp; Charvát, M. (2018). </w:t>
      </w:r>
      <w:proofErr w:type="spellStart"/>
      <w:r w:rsidRPr="558B7D74">
        <w:t>Attachment</w:t>
      </w:r>
      <w:proofErr w:type="spellEnd"/>
      <w:r w:rsidRPr="558B7D74">
        <w:t xml:space="preserve"> </w:t>
      </w:r>
      <w:proofErr w:type="spellStart"/>
      <w:r w:rsidRPr="558B7D74">
        <w:t>styles</w:t>
      </w:r>
      <w:proofErr w:type="spellEnd"/>
      <w:r w:rsidRPr="558B7D74">
        <w:t xml:space="preserve">: A </w:t>
      </w:r>
      <w:proofErr w:type="spellStart"/>
      <w:r w:rsidRPr="558B7D74">
        <w:t>motivational</w:t>
      </w:r>
      <w:proofErr w:type="spellEnd"/>
      <w:r w:rsidRPr="558B7D74">
        <w:t xml:space="preserve"> </w:t>
      </w:r>
      <w:proofErr w:type="spellStart"/>
      <w:r w:rsidRPr="558B7D74">
        <w:t>framework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personality </w:t>
      </w:r>
      <w:proofErr w:type="spellStart"/>
      <w:r w:rsidRPr="558B7D74">
        <w:t>dispositions</w:t>
      </w:r>
      <w:proofErr w:type="spellEnd"/>
      <w:r w:rsidRPr="558B7D74">
        <w:t xml:space="preserve"> in </w:t>
      </w:r>
      <w:proofErr w:type="spellStart"/>
      <w:r w:rsidRPr="558B7D74">
        <w:t>selection</w:t>
      </w:r>
      <w:proofErr w:type="spellEnd"/>
      <w:r w:rsidRPr="558B7D74">
        <w:t xml:space="preserve"> and </w:t>
      </w:r>
      <w:proofErr w:type="spellStart"/>
      <w:r w:rsidRPr="558B7D74">
        <w:t>counseling</w:t>
      </w:r>
      <w:proofErr w:type="spellEnd"/>
      <w:r w:rsidRPr="558B7D74">
        <w:t xml:space="preserve">. </w:t>
      </w:r>
      <w:proofErr w:type="spellStart"/>
      <w:r w:rsidRPr="558B7D74">
        <w:t>Individual</w:t>
      </w:r>
      <w:proofErr w:type="spellEnd"/>
      <w:r w:rsidRPr="558B7D74">
        <w:t xml:space="preserve"> and Society, 21(1), 12-28. </w:t>
      </w:r>
    </w:p>
    <w:p w14:paraId="3DFB3A91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Seitlová, K., Kasalová, B., &amp; </w:t>
      </w:r>
      <w:proofErr w:type="spellStart"/>
      <w:r>
        <w:t>Seitl</w:t>
      </w:r>
      <w:proofErr w:type="spellEnd"/>
      <w:r>
        <w:t xml:space="preserve">, M. (2015).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Y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In J. C.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Rouco</w:t>
      </w:r>
      <w:proofErr w:type="spellEnd"/>
      <w:r>
        <w:t xml:space="preserve"> (Ed.),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Management </w:t>
      </w:r>
      <w:proofErr w:type="spellStart"/>
      <w:r>
        <w:t>Leadership</w:t>
      </w:r>
      <w:proofErr w:type="spellEnd"/>
      <w:r>
        <w:t xml:space="preserve"> and </w:t>
      </w:r>
      <w:proofErr w:type="spellStart"/>
      <w:r>
        <w:t>Governance</w:t>
      </w:r>
      <w:proofErr w:type="spellEnd"/>
      <w:r>
        <w:t xml:space="preserve">. </w:t>
      </w:r>
      <w:proofErr w:type="spellStart"/>
      <w:r>
        <w:t>Reading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and </w:t>
      </w:r>
      <w:proofErr w:type="spellStart"/>
      <w:r>
        <w:t>Publishing</w:t>
      </w:r>
      <w:proofErr w:type="spellEnd"/>
      <w:r>
        <w:t xml:space="preserve"> International Limited.</w:t>
      </w:r>
    </w:p>
    <w:p w14:paraId="30A6D2CA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Seitl</w:t>
      </w:r>
      <w:proofErr w:type="spellEnd"/>
      <w:r>
        <w:t xml:space="preserve">, M. (2014). Teorie vztahové vazby v dospělosti a sebeposouzení osobnostních charakteristik relevantních v pracovním prostředí. In Fedáková, D., </w:t>
      </w:r>
      <w:proofErr w:type="spellStart"/>
      <w:r>
        <w:t>Bozogáňová</w:t>
      </w:r>
      <w:proofErr w:type="spellEnd"/>
      <w:r>
        <w:t xml:space="preserve">, M., </w:t>
      </w:r>
      <w:proofErr w:type="spellStart"/>
      <w:r>
        <w:t>Ištoňová</w:t>
      </w:r>
      <w:proofErr w:type="spellEnd"/>
      <w:r>
        <w:t>, L. (</w:t>
      </w:r>
      <w:proofErr w:type="spellStart"/>
      <w:r>
        <w:t>Eds</w:t>
      </w:r>
      <w:proofErr w:type="spellEnd"/>
      <w:r>
        <w:t xml:space="preserve">.) Zborník </w:t>
      </w:r>
      <w:proofErr w:type="spellStart"/>
      <w:r>
        <w:t>príspevkov</w:t>
      </w:r>
      <w:proofErr w:type="spellEnd"/>
      <w:r>
        <w:t xml:space="preserve"> z 13. </w:t>
      </w:r>
      <w:proofErr w:type="spellStart"/>
      <w:r>
        <w:t>ročníka</w:t>
      </w:r>
      <w:proofErr w:type="spellEnd"/>
      <w:r>
        <w:t xml:space="preserve"> </w:t>
      </w:r>
      <w:proofErr w:type="spellStart"/>
      <w:r>
        <w:t>medzinárodnej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 xml:space="preserve"> „</w:t>
      </w:r>
      <w:proofErr w:type="spellStart"/>
      <w:r>
        <w:t>Psychológia</w:t>
      </w:r>
      <w:proofErr w:type="spellEnd"/>
      <w:r>
        <w:t xml:space="preserve"> práce a </w:t>
      </w:r>
      <w:proofErr w:type="spellStart"/>
      <w:r>
        <w:t>organizácie</w:t>
      </w:r>
      <w:proofErr w:type="spellEnd"/>
      <w:r>
        <w:t xml:space="preserve"> 2014“. Kosice: SVÚ SAV. ISBN: 978-80-89524-15-0.</w:t>
      </w:r>
    </w:p>
    <w:p w14:paraId="7D057878" w14:textId="77777777" w:rsidR="0004018F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Shaver</w:t>
      </w:r>
      <w:proofErr w:type="spellEnd"/>
      <w:r>
        <w:t xml:space="preserve">, P. R., </w:t>
      </w:r>
      <w:proofErr w:type="spellStart"/>
      <w:r>
        <w:t>Mikulincer</w:t>
      </w:r>
      <w:proofErr w:type="spellEnd"/>
      <w:r>
        <w:t xml:space="preserve">, M., &amp; </w:t>
      </w:r>
      <w:proofErr w:type="spellStart"/>
      <w:r>
        <w:t>Sahdra</w:t>
      </w:r>
      <w:proofErr w:type="spellEnd"/>
      <w:r>
        <w:t xml:space="preserve">, B. (2016).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as a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>. In. K. W. Brown &amp; M. R. Leary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t>The</w:t>
      </w:r>
      <w:proofErr w:type="spellEnd"/>
      <w:r>
        <w:t xml:space="preserve"> Oxford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Hypo-egoic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. Oxford University </w:t>
      </w:r>
      <w:proofErr w:type="spellStart"/>
      <w:r>
        <w:t>Press</w:t>
      </w:r>
      <w:proofErr w:type="spellEnd"/>
      <w:r>
        <w:t xml:space="preserve">. </w:t>
      </w:r>
    </w:p>
    <w:p w14:paraId="428CD67F" w14:textId="58986410" w:rsidR="558B7D74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 w:rsidRPr="558B7D74">
        <w:t>Sulejmanov</w:t>
      </w:r>
      <w:proofErr w:type="spellEnd"/>
      <w:r w:rsidRPr="558B7D74">
        <w:t xml:space="preserve">, F., </w:t>
      </w:r>
      <w:proofErr w:type="spellStart"/>
      <w:r w:rsidRPr="558B7D74">
        <w:t>Seitl</w:t>
      </w:r>
      <w:proofErr w:type="spellEnd"/>
      <w:r w:rsidRPr="558B7D74">
        <w:t xml:space="preserve">, M., &amp; </w:t>
      </w:r>
      <w:proofErr w:type="spellStart"/>
      <w:r w:rsidRPr="558B7D74">
        <w:t>Molinari</w:t>
      </w:r>
      <w:proofErr w:type="spellEnd"/>
      <w:r w:rsidRPr="558B7D74">
        <w:t>, A. (2020).</w:t>
      </w:r>
      <w:r w:rsidRPr="558B7D74">
        <w:rPr>
          <w:b/>
          <w:bCs/>
        </w:rPr>
        <w:t xml:space="preserve"> </w:t>
      </w:r>
      <w:proofErr w:type="spellStart"/>
      <w:r w:rsidRPr="558B7D74">
        <w:t>Attachment</w:t>
      </w:r>
      <w:proofErr w:type="spellEnd"/>
      <w:r w:rsidRPr="558B7D74">
        <w:t xml:space="preserve"> and </w:t>
      </w:r>
      <w:proofErr w:type="spellStart"/>
      <w:r w:rsidRPr="558B7D74">
        <w:t>Coping</w:t>
      </w:r>
      <w:proofErr w:type="spellEnd"/>
      <w:r w:rsidRPr="558B7D74">
        <w:t xml:space="preserve"> </w:t>
      </w:r>
      <w:proofErr w:type="spellStart"/>
      <w:r w:rsidRPr="558B7D74">
        <w:t>Strategies</w:t>
      </w:r>
      <w:proofErr w:type="spellEnd"/>
      <w:r w:rsidRPr="558B7D74">
        <w:t xml:space="preserve"> as </w:t>
      </w:r>
      <w:proofErr w:type="spellStart"/>
      <w:r w:rsidRPr="558B7D74">
        <w:t>Predictors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</w:t>
      </w:r>
      <w:proofErr w:type="spellStart"/>
      <w:r w:rsidRPr="558B7D74">
        <w:t>Mental</w:t>
      </w:r>
      <w:proofErr w:type="spellEnd"/>
      <w:r w:rsidRPr="558B7D74">
        <w:t xml:space="preserve"> </w:t>
      </w:r>
      <w:proofErr w:type="spellStart"/>
      <w:r w:rsidRPr="558B7D74">
        <w:t>Overload</w:t>
      </w:r>
      <w:proofErr w:type="spellEnd"/>
      <w:r w:rsidRPr="558B7D74">
        <w:t xml:space="preserve"> </w:t>
      </w:r>
      <w:proofErr w:type="spellStart"/>
      <w:r w:rsidRPr="558B7D74">
        <w:t>among</w:t>
      </w:r>
      <w:proofErr w:type="spellEnd"/>
      <w:r w:rsidRPr="558B7D74">
        <w:t xml:space="preserve"> </w:t>
      </w:r>
      <w:proofErr w:type="spellStart"/>
      <w:r w:rsidRPr="558B7D74">
        <w:t>Members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</w:t>
      </w:r>
      <w:proofErr w:type="spellStart"/>
      <w:r w:rsidRPr="558B7D74">
        <w:t>the</w:t>
      </w:r>
      <w:proofErr w:type="spellEnd"/>
      <w:r w:rsidRPr="558B7D74">
        <w:t xml:space="preserve"> </w:t>
      </w:r>
      <w:proofErr w:type="spellStart"/>
      <w:r w:rsidRPr="558B7D74">
        <w:t>Security</w:t>
      </w:r>
      <w:proofErr w:type="spellEnd"/>
      <w:r w:rsidRPr="558B7D74">
        <w:t xml:space="preserve"> </w:t>
      </w:r>
      <w:proofErr w:type="spellStart"/>
      <w:r w:rsidRPr="558B7D74">
        <w:t>Services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</w:t>
      </w:r>
      <w:proofErr w:type="spellStart"/>
      <w:r w:rsidRPr="558B7D74">
        <w:t>the</w:t>
      </w:r>
      <w:proofErr w:type="spellEnd"/>
      <w:r w:rsidRPr="558B7D74">
        <w:t xml:space="preserve"> Czech Republic. </w:t>
      </w:r>
      <w:proofErr w:type="spellStart"/>
      <w:r w:rsidRPr="558B7D74">
        <w:t>Človek</w:t>
      </w:r>
      <w:proofErr w:type="spellEnd"/>
      <w:r w:rsidRPr="558B7D74">
        <w:t xml:space="preserve"> a </w:t>
      </w:r>
      <w:proofErr w:type="spellStart"/>
      <w:r w:rsidRPr="558B7D74">
        <w:t>spoločnosť</w:t>
      </w:r>
      <w:proofErr w:type="spellEnd"/>
      <w:r w:rsidRPr="558B7D74">
        <w:t xml:space="preserve"> [</w:t>
      </w:r>
      <w:proofErr w:type="spellStart"/>
      <w:r w:rsidRPr="558B7D74">
        <w:t>Individual</w:t>
      </w:r>
      <w:proofErr w:type="spellEnd"/>
      <w:r w:rsidRPr="558B7D74">
        <w:t xml:space="preserve"> and Society], 23(1), 31–44.</w:t>
      </w:r>
    </w:p>
    <w:p w14:paraId="7238DD22" w14:textId="4101092E" w:rsidR="558B7D74" w:rsidRDefault="558B7D74" w:rsidP="558B7D7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558B7D74">
        <w:t xml:space="preserve">Střelec, J. &amp; </w:t>
      </w:r>
      <w:proofErr w:type="spellStart"/>
      <w:r w:rsidRPr="558B7D74">
        <w:t>Seitl</w:t>
      </w:r>
      <w:proofErr w:type="spellEnd"/>
      <w:r w:rsidRPr="558B7D74">
        <w:t>, M. (2017).</w:t>
      </w:r>
      <w:r w:rsidRPr="558B7D74">
        <w:rPr>
          <w:b/>
          <w:bCs/>
        </w:rPr>
        <w:t xml:space="preserve"> </w:t>
      </w:r>
      <w:proofErr w:type="spellStart"/>
      <w:r w:rsidRPr="558B7D74">
        <w:t>Work-life</w:t>
      </w:r>
      <w:proofErr w:type="spellEnd"/>
      <w:r w:rsidRPr="558B7D74">
        <w:t xml:space="preserve"> balance u pedagogů základních škol ve světle teorie vztahové vazby. [</w:t>
      </w:r>
      <w:proofErr w:type="spellStart"/>
      <w:r w:rsidRPr="558B7D74">
        <w:t>Work-life</w:t>
      </w:r>
      <w:proofErr w:type="spellEnd"/>
      <w:r w:rsidRPr="558B7D74">
        <w:t xml:space="preserve"> balance in </w:t>
      </w:r>
      <w:proofErr w:type="spellStart"/>
      <w:r w:rsidRPr="558B7D74">
        <w:t>the</w:t>
      </w:r>
      <w:proofErr w:type="spellEnd"/>
      <w:r w:rsidRPr="558B7D74">
        <w:t xml:space="preserve"> </w:t>
      </w:r>
      <w:proofErr w:type="spellStart"/>
      <w:r w:rsidRPr="558B7D74">
        <w:t>light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</w:t>
      </w:r>
      <w:proofErr w:type="spellStart"/>
      <w:r w:rsidRPr="558B7D74">
        <w:t>the</w:t>
      </w:r>
      <w:proofErr w:type="spellEnd"/>
      <w:r w:rsidRPr="558B7D74">
        <w:t xml:space="preserve"> </w:t>
      </w:r>
      <w:proofErr w:type="spellStart"/>
      <w:r w:rsidRPr="558B7D74">
        <w:t>adult</w:t>
      </w:r>
      <w:proofErr w:type="spellEnd"/>
      <w:r w:rsidRPr="558B7D74">
        <w:t xml:space="preserve"> </w:t>
      </w:r>
      <w:proofErr w:type="spellStart"/>
      <w:r w:rsidRPr="558B7D74">
        <w:t>attachment</w:t>
      </w:r>
      <w:proofErr w:type="spellEnd"/>
      <w:r w:rsidRPr="558B7D74">
        <w:t xml:space="preserve"> </w:t>
      </w:r>
      <w:proofErr w:type="spellStart"/>
      <w:r w:rsidRPr="558B7D74">
        <w:t>theory</w:t>
      </w:r>
      <w:proofErr w:type="spellEnd"/>
      <w:r w:rsidRPr="558B7D74">
        <w:t xml:space="preserve"> in </w:t>
      </w:r>
      <w:proofErr w:type="spellStart"/>
      <w:r w:rsidRPr="558B7D74">
        <w:t>teachers</w:t>
      </w:r>
      <w:proofErr w:type="spellEnd"/>
      <w:r w:rsidRPr="558B7D74">
        <w:t xml:space="preserve"> </w:t>
      </w:r>
      <w:proofErr w:type="spellStart"/>
      <w:r w:rsidRPr="558B7D74">
        <w:t>of</w:t>
      </w:r>
      <w:proofErr w:type="spellEnd"/>
      <w:r w:rsidRPr="558B7D74">
        <w:t xml:space="preserve"> </w:t>
      </w:r>
      <w:proofErr w:type="spellStart"/>
      <w:r w:rsidRPr="558B7D74">
        <w:t>elementary</w:t>
      </w:r>
      <w:proofErr w:type="spellEnd"/>
      <w:r w:rsidRPr="558B7D74">
        <w:t xml:space="preserve"> </w:t>
      </w:r>
      <w:proofErr w:type="spellStart"/>
      <w:r w:rsidRPr="558B7D74">
        <w:t>schools</w:t>
      </w:r>
      <w:proofErr w:type="spellEnd"/>
      <w:r w:rsidRPr="558B7D74">
        <w:t>]. Psychologie a její kontexty, 8(2), 73-84.</w:t>
      </w:r>
    </w:p>
    <w:p w14:paraId="485756B9" w14:textId="2B7112CD" w:rsidR="558B7D74" w:rsidRDefault="558B7D74" w:rsidP="558B7D74">
      <w:pPr>
        <w:spacing w:after="0" w:line="240" w:lineRule="auto"/>
        <w:ind w:left="360"/>
        <w:jc w:val="both"/>
      </w:pPr>
    </w:p>
    <w:p w14:paraId="5A39BBE3" w14:textId="77777777" w:rsidR="0004018F" w:rsidRDefault="0004018F" w:rsidP="0004018F">
      <w:pPr>
        <w:spacing w:after="0" w:line="240" w:lineRule="auto"/>
      </w:pPr>
    </w:p>
    <w:p w14:paraId="41C8F396" w14:textId="77777777" w:rsidR="0004018F" w:rsidRPr="00485F62" w:rsidRDefault="0004018F" w:rsidP="0004018F">
      <w:pPr>
        <w:spacing w:after="0" w:line="240" w:lineRule="auto"/>
      </w:pPr>
    </w:p>
    <w:p w14:paraId="72A3D3EC" w14:textId="77777777" w:rsidR="00881C0F" w:rsidRDefault="00881C0F"/>
    <w:sectPr w:rsidR="0088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13E42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E92D34"/>
    <w:multiLevelType w:val="hybridMultilevel"/>
    <w:tmpl w:val="A9FCBDF6"/>
    <w:lvl w:ilvl="0" w:tplc="240C3460">
      <w:start w:val="1"/>
      <w:numFmt w:val="decimal"/>
      <w:lvlText w:val="%1."/>
      <w:lvlJc w:val="left"/>
      <w:pPr>
        <w:ind w:left="720" w:hanging="360"/>
      </w:pPr>
    </w:lvl>
    <w:lvl w:ilvl="1" w:tplc="A8A07534">
      <w:start w:val="1"/>
      <w:numFmt w:val="lowerLetter"/>
      <w:lvlText w:val="%2."/>
      <w:lvlJc w:val="left"/>
      <w:pPr>
        <w:ind w:left="1440" w:hanging="360"/>
      </w:pPr>
    </w:lvl>
    <w:lvl w:ilvl="2" w:tplc="BA0297F4">
      <w:start w:val="1"/>
      <w:numFmt w:val="lowerRoman"/>
      <w:lvlText w:val="%3."/>
      <w:lvlJc w:val="right"/>
      <w:pPr>
        <w:ind w:left="2160" w:hanging="180"/>
      </w:pPr>
    </w:lvl>
    <w:lvl w:ilvl="3" w:tplc="D3BC4D20">
      <w:start w:val="1"/>
      <w:numFmt w:val="decimal"/>
      <w:lvlText w:val="%4."/>
      <w:lvlJc w:val="left"/>
      <w:pPr>
        <w:ind w:left="2880" w:hanging="360"/>
      </w:pPr>
    </w:lvl>
    <w:lvl w:ilvl="4" w:tplc="267A5DB4">
      <w:start w:val="1"/>
      <w:numFmt w:val="lowerLetter"/>
      <w:lvlText w:val="%5."/>
      <w:lvlJc w:val="left"/>
      <w:pPr>
        <w:ind w:left="3600" w:hanging="360"/>
      </w:pPr>
    </w:lvl>
    <w:lvl w:ilvl="5" w:tplc="20CA5936">
      <w:start w:val="1"/>
      <w:numFmt w:val="lowerRoman"/>
      <w:lvlText w:val="%6."/>
      <w:lvlJc w:val="right"/>
      <w:pPr>
        <w:ind w:left="4320" w:hanging="180"/>
      </w:pPr>
    </w:lvl>
    <w:lvl w:ilvl="6" w:tplc="FC1EA1DE">
      <w:start w:val="1"/>
      <w:numFmt w:val="decimal"/>
      <w:lvlText w:val="%7."/>
      <w:lvlJc w:val="left"/>
      <w:pPr>
        <w:ind w:left="5040" w:hanging="360"/>
      </w:pPr>
    </w:lvl>
    <w:lvl w:ilvl="7" w:tplc="5736038E">
      <w:start w:val="1"/>
      <w:numFmt w:val="lowerLetter"/>
      <w:lvlText w:val="%8."/>
      <w:lvlJc w:val="left"/>
      <w:pPr>
        <w:ind w:left="5760" w:hanging="360"/>
      </w:pPr>
    </w:lvl>
    <w:lvl w:ilvl="8" w:tplc="9A3C8B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0E2"/>
    <w:multiLevelType w:val="hybridMultilevel"/>
    <w:tmpl w:val="D610B93C"/>
    <w:lvl w:ilvl="0" w:tplc="A5345C72">
      <w:start w:val="1"/>
      <w:numFmt w:val="decimal"/>
      <w:lvlText w:val="%1."/>
      <w:lvlJc w:val="left"/>
      <w:pPr>
        <w:ind w:left="720" w:hanging="360"/>
      </w:pPr>
    </w:lvl>
    <w:lvl w:ilvl="1" w:tplc="F1D6229C">
      <w:start w:val="1"/>
      <w:numFmt w:val="lowerLetter"/>
      <w:lvlText w:val="%2."/>
      <w:lvlJc w:val="left"/>
      <w:pPr>
        <w:ind w:left="1440" w:hanging="360"/>
      </w:pPr>
    </w:lvl>
    <w:lvl w:ilvl="2" w:tplc="1B9CAFF0">
      <w:start w:val="1"/>
      <w:numFmt w:val="lowerRoman"/>
      <w:lvlText w:val="%3."/>
      <w:lvlJc w:val="right"/>
      <w:pPr>
        <w:ind w:left="2160" w:hanging="180"/>
      </w:pPr>
    </w:lvl>
    <w:lvl w:ilvl="3" w:tplc="24F2E264">
      <w:start w:val="1"/>
      <w:numFmt w:val="decimal"/>
      <w:lvlText w:val="%4."/>
      <w:lvlJc w:val="left"/>
      <w:pPr>
        <w:ind w:left="2880" w:hanging="360"/>
      </w:pPr>
    </w:lvl>
    <w:lvl w:ilvl="4" w:tplc="D1FE9206">
      <w:start w:val="1"/>
      <w:numFmt w:val="lowerLetter"/>
      <w:lvlText w:val="%5."/>
      <w:lvlJc w:val="left"/>
      <w:pPr>
        <w:ind w:left="3600" w:hanging="360"/>
      </w:pPr>
    </w:lvl>
    <w:lvl w:ilvl="5" w:tplc="8F3A18FC">
      <w:start w:val="1"/>
      <w:numFmt w:val="lowerRoman"/>
      <w:lvlText w:val="%6."/>
      <w:lvlJc w:val="right"/>
      <w:pPr>
        <w:ind w:left="4320" w:hanging="180"/>
      </w:pPr>
    </w:lvl>
    <w:lvl w:ilvl="6" w:tplc="DA48A136">
      <w:start w:val="1"/>
      <w:numFmt w:val="decimal"/>
      <w:lvlText w:val="%7."/>
      <w:lvlJc w:val="left"/>
      <w:pPr>
        <w:ind w:left="5040" w:hanging="360"/>
      </w:pPr>
    </w:lvl>
    <w:lvl w:ilvl="7" w:tplc="44B66C50">
      <w:start w:val="1"/>
      <w:numFmt w:val="lowerLetter"/>
      <w:lvlText w:val="%8."/>
      <w:lvlJc w:val="left"/>
      <w:pPr>
        <w:ind w:left="5760" w:hanging="360"/>
      </w:pPr>
    </w:lvl>
    <w:lvl w:ilvl="8" w:tplc="AFEA4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F"/>
    <w:rsid w:val="0004018F"/>
    <w:rsid w:val="000A6986"/>
    <w:rsid w:val="000E0121"/>
    <w:rsid w:val="00644F1A"/>
    <w:rsid w:val="00881C0F"/>
    <w:rsid w:val="558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725"/>
  <w15:chartTrackingRefBased/>
  <w15:docId w15:val="{279C723D-AB8C-4D23-9A37-C6DA2DF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18F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04018F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018F"/>
    <w:pPr>
      <w:keepNext/>
      <w:keepLines/>
      <w:numPr>
        <w:ilvl w:val="1"/>
        <w:numId w:val="3"/>
      </w:numPr>
      <w:spacing w:before="360" w:after="0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018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18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018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018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018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18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018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1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4018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01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01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018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018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01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1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01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6F8DE-F528-4215-9E48-A423BE64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CAC76-633C-4803-B020-9BD144D90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82771-9883-4D81-8ECF-37F825B4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FF-KP-Probook</dc:creator>
  <cp:keywords/>
  <dc:description/>
  <cp:lastModifiedBy>FF-KP-Probook</cp:lastModifiedBy>
  <cp:revision>4</cp:revision>
  <dcterms:created xsi:type="dcterms:W3CDTF">2020-07-17T22:27:00Z</dcterms:created>
  <dcterms:modified xsi:type="dcterms:W3CDTF">2020-07-17T22:55:00Z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